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tl w:val="0"/>
        </w:rPr>
        <w:t xml:space="preserve">Far North </w:t>
      </w:r>
    </w:p>
    <w:p w:rsidP="00000000" w:rsidRPr="00000000" w:rsidR="00000000" w:rsidDel="00000000" w:rsidRDefault="00000000">
      <w:pPr>
        <w:contextualSpacing w:val="0"/>
        <w:jc w:val="center"/>
      </w:pPr>
      <w:r w:rsidRPr="00000000" w:rsidR="00000000" w:rsidDel="00000000">
        <w:rPr>
          <w:rtl w:val="0"/>
        </w:rPr>
        <w:t xml:space="preserve">Chapter Summaries/Jigsaw Choices</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10"/>
        <w:gridCol w:w="915"/>
        <w:gridCol w:w="5685"/>
        <w:gridCol w:w="1650"/>
      </w:tblGrid>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jc w:val="center"/>
            </w:pPr>
            <w:r w:rsidRPr="00000000" w:rsidR="00000000" w:rsidDel="00000000">
              <w:rPr>
                <w:b w:val="1"/>
                <w:rtl w:val="0"/>
              </w:rPr>
              <w:t xml:space="preserve">Chapter</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jc w:val="center"/>
            </w:pPr>
            <w:r w:rsidRPr="00000000" w:rsidR="00000000" w:rsidDel="00000000">
              <w:rPr>
                <w:b w:val="1"/>
                <w:rtl w:val="0"/>
              </w:rPr>
              <w:t xml:space="preserve"># of Pages</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jc w:val="center"/>
            </w:pPr>
            <w:r w:rsidRPr="00000000" w:rsidR="00000000" w:rsidDel="00000000">
              <w:rPr>
                <w:b w:val="1"/>
                <w:rtl w:val="0"/>
              </w:rPr>
              <w:t xml:space="preserve">Summary</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jc w:val="center"/>
            </w:pPr>
            <w:r w:rsidRPr="00000000" w:rsidR="00000000" w:rsidDel="00000000">
              <w:rPr>
                <w:b w:val="1"/>
                <w:rtl w:val="0"/>
              </w:rPr>
              <w:t xml:space="preserve">Jigsaw/Read as Class</w:t>
            </w:r>
          </w:p>
          <w:p w:rsidP="00000000" w:rsidRPr="00000000" w:rsidR="00000000" w:rsidDel="00000000" w:rsidRDefault="00000000">
            <w:pPr>
              <w:spacing w:lineRule="auto" w:after="0" w:line="240" w:before="0"/>
              <w:contextualSpacing w:val="0"/>
              <w:jc w:val="center"/>
            </w:pPr>
            <w:r w:rsidRPr="00000000" w:rsidR="00000000" w:rsidDel="00000000">
              <w:rPr>
                <w:b w:val="1"/>
                <w:rtl w:val="0"/>
              </w:rPr>
              <w:t xml:space="preserve">(Day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Clint drives Gabe to Yellowknife.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7</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Gabe meets his roommate Raymond.</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Gabe goes shopping with his dad.</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(3)</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Raymond is struggling in school; Gabe is going flying and realizes Raymond is dropping out.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(3)</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They fly as far as Fort Simpson; Gabe and Clint talk in the hotel.</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(3)</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They detour to see the falls and don’t reach anyone on the radio. The plane’s engine dies on the river.</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(4)</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7</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The plane goes over the falls and Clint dies.</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(5)</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They build a shelter and take stock of supplies. Johnny kills a porcupine.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(6)</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Johnny hunts for moose; the Chinook comes, and the boys talk about making a raft.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(6)</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The boys build a raft. Johnny kills a moose. They outvote Johnny and decide to escape by raft.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(7)</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11</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14</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They begin rafting, find the plane, Johnny falls off the raft, and are stopped by ice. They lose the raft and are stranded.</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(8)</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12</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14</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Johnny takes the boys to the cabin. They don’t have enough food, and Johnny has lost his moose medicine.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(8)</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They find the beaver dam. Johnny dances over Raymond. Johnny dies. They find his letter.</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(9/10)</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14</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Johnny’s letter</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(10)</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15</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The boys leave the cabin with the toboggan, but are stopped by ice. The ice bridge breaks. They return to the cabin, and a wolverine has been there.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(11)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16</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The boys leave the cabin again to go to the Yukon side and try to get a moose. Raymond’s raven medicine leads them to a ram.</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(11)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17</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They kill the ram and camp in the cave, then continue into the Yukon valley. A raven leads them to a moose, which Raymond kills with his last bullet.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(12)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18</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The boys split up to haul the moose meat back to the cabin. Gabe gets wet and almost dies. He drops off the meat, returns for Raymond, and they go back to the cabin - to find a bear has stolen their meat.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(13)</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19</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The bear comes back and traps the boys in the tree.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(13)</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20</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The boys jump out of the tree and both are injured. The bear returns and Raymond talks to it. They stay in the cabin for a while, then decide to try to hike out.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(14)</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21</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Gabe pulls Raymond to Nahanni Butte.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highlight w:val="yellow"/>
                <w:rtl w:val="0"/>
              </w:rPr>
              <w:t xml:space="preserve">Jigsaw (14)</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22</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7</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Johnny’s potlatch</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(15)</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Author’s Note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What is true? </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Class (15)</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Possible Themes of Far North</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Friendship</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Survival</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Risk Tasking</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Decision Making</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Respecting your elders</w:t>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Respecting the land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North chapter summaries.docx</dc:title>
</cp:coreProperties>
</file>